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2.0 -->
  <w:body>
    <w:p>
      <w:pPr>
        <w:pStyle w:val="candidate-name"/>
        <w:shd w:val="clear" w:color="auto" w:fill="FFFFFF"/>
        <w:spacing w:after="45" w:line="680" w:lineRule="atLeast"/>
        <w:rPr>
          <w:rFonts w:ascii="Helvetica" w:eastAsia="Helvetica" w:hAnsi="Helvetica" w:cs="Helvetica"/>
          <w:color w:val="000000"/>
          <w:sz w:val="49"/>
          <w:szCs w:val="49"/>
        </w:rPr>
      </w:pPr>
      <w:r>
        <w:rPr>
          <w:rFonts w:ascii="Helvetica" w:eastAsia="Helvetica" w:hAnsi="Helvetica" w:cs="Helvetica"/>
        </w:rPr>
        <w:t>ARJUN S. MEHTA</w:t>
      </w:r>
    </w:p>
    <w:p>
      <w:pPr>
        <w:pStyle w:val="ideal-job-title"/>
        <w:pBdr>
          <w:top w:val="none" w:sz="0" w:space="0" w:color="auto"/>
          <w:left w:val="none" w:sz="0" w:space="0" w:color="auto"/>
          <w:bottom w:val="none" w:sz="0" w:space="5" w:color="auto"/>
          <w:right w:val="none" w:sz="0" w:space="0" w:color="auto"/>
        </w:pBdr>
        <w:shd w:val="clear" w:color="auto" w:fill="FFFFFF"/>
        <w:spacing w:line="328" w:lineRule="atLeast"/>
        <w:rPr>
          <w:rFonts w:ascii="Helvetica" w:eastAsia="Helvetica" w:hAnsi="Helvetica" w:cs="Helvetica"/>
          <w:i/>
          <w:iCs/>
          <w:caps/>
          <w:color w:val="000000"/>
          <w:sz w:val="23"/>
          <w:szCs w:val="23"/>
        </w:rPr>
      </w:pPr>
      <w:r>
        <w:rPr>
          <w:rFonts w:ascii="Helvetica" w:eastAsia="Helvetica" w:hAnsi="Helvetica" w:cs="Helvetica"/>
          <w:color w:val="000000"/>
        </w:rPr>
        <w:t>Polymeric Nanoparticle &amp; Biological Delivery Researcher</w:t>
      </w:r>
    </w:p>
    <w:p>
      <w:pPr>
        <w:pStyle w:val="contact-info"/>
        <w:shd w:val="clear" w:color="auto" w:fill="FFFFFF"/>
        <w:spacing w:after="180" w:line="227" w:lineRule="atLeast"/>
        <w:rPr>
          <w:rFonts w:ascii="Helvetica" w:eastAsia="Helvetica" w:hAnsi="Helvetica" w:cs="Helvetica"/>
          <w:sz w:val="16"/>
          <w:szCs w:val="16"/>
        </w:rPr>
      </w:pPr>
      <w:r>
        <w:rPr>
          <w:rFonts w:ascii="Helvetica" w:eastAsia="Helvetica" w:hAnsi="Helvetica" w:cs="Helvetica"/>
        </w:rPr>
        <w:t xml:space="preserve">Mumbai, Maharashtra | </w:t>
      </w:r>
      <w:hyperlink r:id="rId4" w:history="1">
        <w:r>
          <w:rPr>
            <w:rFonts w:ascii="Helvetica" w:eastAsia="Helvetica" w:hAnsi="Helvetica" w:cs="Helvetica"/>
            <w:color w:val="0000EE"/>
            <w:u w:val="single" w:color="0000EE"/>
          </w:rPr>
          <w:t>arjun.mehta@example.com</w:t>
        </w:r>
      </w:hyperlink>
      <w:r>
        <w:rPr>
          <w:rFonts w:ascii="Helvetica" w:eastAsia="Helvetica" w:hAnsi="Helvetica" w:cs="Helvetica"/>
        </w:rPr>
        <w:t xml:space="preserve"> | +91-5550142290 | </w:t>
      </w:r>
      <w:hyperlink r:id="rId5" w:history="1">
        <w:r>
          <w:rPr>
            <w:rFonts w:ascii="Helvetica" w:eastAsia="Helvetica" w:hAnsi="Helvetica" w:cs="Helvetica"/>
            <w:color w:val="0000EE"/>
            <w:u w:val="single" w:color="0000EE"/>
          </w:rPr>
          <w:t>orcid.org/0000-0000-0000-0000</w:t>
        </w:r>
      </w:hyperlink>
    </w:p>
    <w:p>
      <w:pPr>
        <w:pStyle w:val="section-headerwith-divider"/>
        <w:shd w:val="clear" w:color="auto" w:fill="FFFFFF"/>
        <w:spacing w:before="330" w:after="150" w:line="216" w:lineRule="atLeast"/>
        <w:ind w:left="0" w:right="0"/>
        <w:rPr>
          <w:rFonts w:ascii="Helvetica" w:eastAsia="Helvetica" w:hAnsi="Helvetica" w:cs="Helvetica"/>
          <w:b/>
          <w:bCs/>
          <w:color w:val="000000"/>
          <w:sz w:val="18"/>
          <w:szCs w:val="18"/>
        </w:rPr>
      </w:pPr>
      <w:r>
        <w:rPr>
          <w:rFonts w:ascii="Helvetica" w:eastAsia="Helvetica" w:hAnsi="Helvetica" w:cs="Helvetica"/>
          <w:sz w:val="18"/>
          <w:szCs w:val="18"/>
        </w:rPr>
        <w:t>PROFESSIONAL SUMMARY</w:t>
      </w:r>
    </w:p>
    <w:p>
      <w:pPr>
        <w:pStyle w:val="resume-wrapperp"/>
        <w:shd w:val="clear" w:color="auto" w:fill="FFFFFF"/>
        <w:spacing w:before="180" w:after="330" w:line="252" w:lineRule="atLeast"/>
        <w:rPr>
          <w:rFonts w:ascii="Helvetica" w:eastAsia="Helvetica" w:hAnsi="Helvetica" w:cs="Helvetica"/>
          <w:sz w:val="18"/>
          <w:szCs w:val="18"/>
        </w:rPr>
      </w:pPr>
      <w:r>
        <w:rPr>
          <w:rFonts w:ascii="Helvetica" w:eastAsia="Helvetica" w:hAnsi="Helvetica" w:cs="Helvetica"/>
          <w:sz w:val="18"/>
          <w:szCs w:val="18"/>
        </w:rPr>
        <w:t>PhD-trained veterinary biotechnologist with expertise in chitosan nanoparticle formulation and delivery of viral and bioactive cargo. Skilled in encapsulation and release studies, physicochemical characterization, confocal imaging, virology, and mammalian cell assays. Brings experience spanning formulation development through guinea pig evaluation, with a strong foundation in immunogenicity and protective-response analysis. Interested in applying polymeric carrier expertise to targeted delivery of therapeutics and biologics.</w:t>
      </w:r>
    </w:p>
    <w:p>
      <w:pPr>
        <w:pStyle w:val="section-headerwith-divider"/>
        <w:shd w:val="clear" w:color="auto" w:fill="FFFFFF"/>
        <w:spacing w:before="330" w:after="150" w:line="216" w:lineRule="atLeast"/>
        <w:ind w:left="0" w:right="0"/>
        <w:rPr>
          <w:rFonts w:ascii="Helvetica" w:eastAsia="Helvetica" w:hAnsi="Helvetica" w:cs="Helvetica"/>
          <w:b/>
          <w:bCs/>
          <w:color w:val="000000"/>
          <w:sz w:val="18"/>
          <w:szCs w:val="18"/>
        </w:rPr>
      </w:pPr>
      <w:r>
        <w:rPr>
          <w:rFonts w:ascii="Helvetica" w:eastAsia="Helvetica" w:hAnsi="Helvetica" w:cs="Helvetica"/>
          <w:sz w:val="18"/>
          <w:szCs w:val="18"/>
        </w:rPr>
        <w:t>PROFESSIONAL EXPERIENCE</w:t>
      </w:r>
    </w:p>
    <w:tbl>
      <w:tblPr>
        <w:tblStyle w:val="job-header"/>
        <w:tblW w:w="5000" w:type="pct"/>
        <w:shd w:val="clear" w:color="auto" w:fill="FFFFFF"/>
        <w:tblCellMar>
          <w:top w:w="15" w:type="dxa"/>
          <w:left w:w="15" w:type="dxa"/>
          <w:bottom w:w="15" w:type="dxa"/>
          <w:right w:w="15" w:type="dxa"/>
        </w:tblCellMar>
        <w:tblLook w:val="05E0"/>
      </w:tblPr>
      <w:tblGrid>
        <w:gridCol w:w="8540"/>
        <w:gridCol w:w="2260"/>
      </w:tblGrid>
      <w:tr>
        <w:tblPrEx>
          <w:tblW w:w="5000" w:type="pct"/>
          <w:shd w:val="clear" w:color="auto" w:fill="FFFFFF"/>
          <w:tblCellMar>
            <w:top w:w="15" w:type="dxa"/>
            <w:left w:w="15" w:type="dxa"/>
            <w:bottom w:w="15" w:type="dxa"/>
            <w:right w:w="15" w:type="dxa"/>
          </w:tblCellMar>
          <w:tblLook w:val="05E0"/>
        </w:tblPrEx>
        <w:tc>
          <w:tcPr>
            <w:shd w:val="clear" w:color="auto" w:fill="FFFFFF"/>
            <w:tcMar>
              <w:top w:w="0" w:type="dxa"/>
              <w:left w:w="0" w:type="dxa"/>
              <w:bottom w:w="0" w:type="dxa"/>
              <w:right w:w="0" w:type="dxa"/>
            </w:tcMar>
            <w:vAlign w:val="top"/>
            <w:hideMark/>
          </w:tcPr>
          <w:p>
            <w:pPr>
              <w:spacing w:line="252" w:lineRule="atLeast"/>
              <w:rPr>
                <w:rFonts w:ascii="Helvetica" w:eastAsia="Helvetica" w:hAnsi="Helvetica" w:cs="Helvetica"/>
                <w:b/>
                <w:bCs/>
                <w:color w:val="000000"/>
                <w:sz w:val="18"/>
                <w:szCs w:val="18"/>
              </w:rPr>
            </w:pPr>
            <w:r>
              <w:rPr>
                <w:rFonts w:ascii="Helvetica" w:eastAsia="Helvetica" w:hAnsi="Helvetica" w:cs="Helvetica"/>
                <w:b/>
                <w:bCs/>
                <w:color w:val="000000"/>
                <w:sz w:val="18"/>
                <w:szCs w:val="18"/>
              </w:rPr>
              <w:t xml:space="preserve">ICAR–Indian Veterinary Research Institute </w:t>
            </w:r>
            <w:r>
              <w:rPr>
                <w:rFonts w:ascii="Helvetica" w:eastAsia="Helvetica" w:hAnsi="Helvetica" w:cs="Helvetica"/>
                <w:b/>
                <w:bCs/>
                <w:color w:val="000000"/>
                <w:sz w:val="18"/>
                <w:szCs w:val="18"/>
              </w:rPr>
              <w:br/>
            </w:r>
            <w:r>
              <w:rPr>
                <w:rStyle w:val="job-title"/>
                <w:rFonts w:ascii="Helvetica" w:eastAsia="Helvetica" w:hAnsi="Helvetica" w:cs="Helvetica"/>
                <w:b/>
                <w:bCs/>
                <w:color w:val="000000"/>
              </w:rPr>
              <w:t>Doctoral Research</w:t>
            </w:r>
          </w:p>
        </w:tc>
        <w:tc>
          <w:tcPr>
            <w:tcW w:w="2260" w:type="dxa"/>
            <w:shd w:val="clear" w:color="auto" w:fill="FFFFFF"/>
            <w:noWrap/>
            <w:tcMar>
              <w:top w:w="0" w:type="dxa"/>
              <w:left w:w="0" w:type="dxa"/>
              <w:bottom w:w="0" w:type="dxa"/>
              <w:right w:w="0" w:type="dxa"/>
            </w:tcMar>
            <w:vAlign w:val="top"/>
            <w:hideMark/>
          </w:tcPr>
          <w:p>
            <w:pPr>
              <w:spacing w:line="252" w:lineRule="atLeast"/>
              <w:jc w:val="right"/>
              <w:rPr>
                <w:rFonts w:ascii="Helvetica" w:eastAsia="Helvetica" w:hAnsi="Helvetica" w:cs="Helvetica"/>
                <w:b/>
                <w:bCs/>
                <w:sz w:val="18"/>
                <w:szCs w:val="18"/>
              </w:rPr>
            </w:pPr>
            <w:r>
              <w:rPr>
                <w:rFonts w:ascii="Helvetica" w:eastAsia="Helvetica" w:hAnsi="Helvetica" w:cs="Helvetica"/>
                <w:b/>
                <w:bCs/>
                <w:sz w:val="18"/>
                <w:szCs w:val="18"/>
              </w:rPr>
              <w:t xml:space="preserve">2020 - 2025 </w:t>
            </w:r>
          </w:p>
        </w:tc>
      </w:tr>
    </w:tbl>
    <w:p>
      <w:pPr>
        <w:pStyle w:val="resume-wrapperli"/>
        <w:numPr>
          <w:ilvl w:val="0"/>
          <w:numId w:val="1"/>
        </w:numPr>
        <w:shd w:val="clear" w:color="auto" w:fill="FFFFFF"/>
        <w:spacing w:before="150"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Designed and optimized chitosan nanoparticle formulations to encapsulate live and inactivated ∆gE infectious bovine rhinotracheitis virus, assessing polymer–virus interactions and formulation stability.</w:t>
      </w:r>
    </w:p>
    <w:p>
      <w:pPr>
        <w:pStyle w:val="resume-wrapperli"/>
        <w:numPr>
          <w:ilvl w:val="0"/>
          <w:numId w:val="1"/>
        </w:numPr>
        <w:shd w:val="clear" w:color="auto" w:fill="FFFFFF"/>
        <w:spacing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Standardized formulation conditions with live virus to measure encapsulation efficiency and release kinetics, then applied the optimized conditions to inactivated virus.</w:t>
      </w:r>
    </w:p>
    <w:p>
      <w:pPr>
        <w:pStyle w:val="resume-wrapperli"/>
        <w:numPr>
          <w:ilvl w:val="0"/>
          <w:numId w:val="1"/>
        </w:numPr>
        <w:shd w:val="clear" w:color="auto" w:fill="FFFFFF"/>
        <w:spacing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Characterized formulations using particle-size analysis, polydispersity index (PDI), zeta potential, FTIR spectroscopy, TEM, and cytotoxicity assays.</w:t>
      </w:r>
    </w:p>
    <w:p>
      <w:pPr>
        <w:pStyle w:val="resume-wrapperli"/>
        <w:numPr>
          <w:ilvl w:val="0"/>
          <w:numId w:val="1"/>
        </w:numPr>
        <w:shd w:val="clear" w:color="auto" w:fill="FFFFFF"/>
        <w:spacing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Investigated cellular uptake and nanoparticle internalization using FITC-conjugated chitosan nanoparticles and confocal microscopy.</w:t>
      </w:r>
    </w:p>
    <w:p>
      <w:pPr>
        <w:pStyle w:val="resume-wrapperli"/>
        <w:numPr>
          <w:ilvl w:val="0"/>
          <w:numId w:val="1"/>
        </w:numPr>
        <w:shd w:val="clear" w:color="auto" w:fill="FFFFFF"/>
        <w:spacing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Evaluated the functional stability of encapsulated viral systems using TCID50 titration, plaque assays, virus inactivation studies, ELISA, and virus neutralization tests.</w:t>
      </w:r>
    </w:p>
    <w:p>
      <w:pPr>
        <w:pStyle w:val="resume-wrapperli"/>
        <w:numPr>
          <w:ilvl w:val="0"/>
          <w:numId w:val="1"/>
        </w:numPr>
        <w:shd w:val="clear" w:color="auto" w:fill="FFFFFF"/>
        <w:spacing w:after="216"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Conducted in-vivo studies in a guinea pig model, evaluating immunogenicity and protective responses, and performing histopathological analysis and qPCR-based cytokine-expression profiling.</w:t>
      </w:r>
    </w:p>
    <w:tbl>
      <w:tblPr>
        <w:tblStyle w:val="job-header"/>
        <w:tblW w:w="5000" w:type="pct"/>
        <w:shd w:val="clear" w:color="auto" w:fill="FFFFFF"/>
        <w:tblCellMar>
          <w:top w:w="15" w:type="dxa"/>
          <w:left w:w="15" w:type="dxa"/>
          <w:bottom w:w="15" w:type="dxa"/>
          <w:right w:w="15" w:type="dxa"/>
        </w:tblCellMar>
        <w:tblLook w:val="05E0"/>
      </w:tblPr>
      <w:tblGrid>
        <w:gridCol w:w="8540"/>
        <w:gridCol w:w="2260"/>
      </w:tblGrid>
      <w:tr>
        <w:tblPrEx>
          <w:tblW w:w="5000" w:type="pct"/>
          <w:shd w:val="clear" w:color="auto" w:fill="FFFFFF"/>
          <w:tblCellMar>
            <w:top w:w="15" w:type="dxa"/>
            <w:left w:w="15" w:type="dxa"/>
            <w:bottom w:w="15" w:type="dxa"/>
            <w:right w:w="15" w:type="dxa"/>
          </w:tblCellMar>
          <w:tblLook w:val="05E0"/>
        </w:tblPrEx>
        <w:tc>
          <w:tcPr>
            <w:shd w:val="clear" w:color="auto" w:fill="FFFFFF"/>
            <w:tcMar>
              <w:top w:w="0" w:type="dxa"/>
              <w:left w:w="0" w:type="dxa"/>
              <w:bottom w:w="0" w:type="dxa"/>
              <w:right w:w="0" w:type="dxa"/>
            </w:tcMar>
            <w:vAlign w:val="top"/>
            <w:hideMark/>
          </w:tcPr>
          <w:p>
            <w:pPr>
              <w:spacing w:line="252" w:lineRule="atLeast"/>
              <w:rPr>
                <w:rFonts w:ascii="Helvetica" w:eastAsia="Helvetica" w:hAnsi="Helvetica" w:cs="Helvetica"/>
                <w:b/>
                <w:bCs/>
                <w:color w:val="000000"/>
                <w:sz w:val="18"/>
                <w:szCs w:val="18"/>
              </w:rPr>
            </w:pPr>
            <w:r>
              <w:rPr>
                <w:rFonts w:ascii="Helvetica" w:eastAsia="Helvetica" w:hAnsi="Helvetica" w:cs="Helvetica"/>
                <w:b/>
                <w:bCs/>
                <w:color w:val="000000"/>
                <w:sz w:val="18"/>
                <w:szCs w:val="18"/>
              </w:rPr>
              <w:t xml:space="preserve">ICAR–Indian Veterinary Research Institute </w:t>
            </w:r>
            <w:r>
              <w:rPr>
                <w:rFonts w:ascii="Helvetica" w:eastAsia="Helvetica" w:hAnsi="Helvetica" w:cs="Helvetica"/>
                <w:b/>
                <w:bCs/>
                <w:color w:val="000000"/>
                <w:sz w:val="18"/>
                <w:szCs w:val="18"/>
              </w:rPr>
              <w:br/>
            </w:r>
            <w:r>
              <w:rPr>
                <w:rStyle w:val="job-title"/>
                <w:rFonts w:ascii="Helvetica" w:eastAsia="Helvetica" w:hAnsi="Helvetica" w:cs="Helvetica"/>
                <w:b/>
                <w:bCs/>
                <w:color w:val="000000"/>
              </w:rPr>
              <w:t>Junior Research Fellow</w:t>
            </w:r>
          </w:p>
        </w:tc>
        <w:tc>
          <w:tcPr>
            <w:tcW w:w="2260" w:type="dxa"/>
            <w:shd w:val="clear" w:color="auto" w:fill="FFFFFF"/>
            <w:noWrap/>
            <w:tcMar>
              <w:top w:w="0" w:type="dxa"/>
              <w:left w:w="0" w:type="dxa"/>
              <w:bottom w:w="0" w:type="dxa"/>
              <w:right w:w="0" w:type="dxa"/>
            </w:tcMar>
            <w:vAlign w:val="top"/>
            <w:hideMark/>
          </w:tcPr>
          <w:p>
            <w:pPr>
              <w:spacing w:line="252" w:lineRule="atLeast"/>
              <w:jc w:val="right"/>
              <w:rPr>
                <w:rFonts w:ascii="Helvetica" w:eastAsia="Helvetica" w:hAnsi="Helvetica" w:cs="Helvetica"/>
                <w:b/>
                <w:bCs/>
                <w:sz w:val="18"/>
                <w:szCs w:val="18"/>
              </w:rPr>
            </w:pPr>
            <w:r>
              <w:rPr>
                <w:rFonts w:ascii="Helvetica" w:eastAsia="Helvetica" w:hAnsi="Helvetica" w:cs="Helvetica"/>
                <w:b/>
                <w:bCs/>
                <w:sz w:val="18"/>
                <w:szCs w:val="18"/>
              </w:rPr>
              <w:t xml:space="preserve">2025 - 2025 </w:t>
            </w:r>
          </w:p>
        </w:tc>
      </w:tr>
    </w:tbl>
    <w:p>
      <w:pPr>
        <w:pStyle w:val="resume-wrapperli"/>
        <w:numPr>
          <w:ilvl w:val="0"/>
          <w:numId w:val="2"/>
        </w:numPr>
        <w:shd w:val="clear" w:color="auto" w:fill="FFFFFF"/>
        <w:spacing w:before="150" w:after="216"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Developed chitosan nanoparticle systems to encapsulate bioactive compounds, including thymol, eugenol, and carvacrol, and evaluated their antimicrobial activity.</w:t>
      </w:r>
    </w:p>
    <w:tbl>
      <w:tblPr>
        <w:tblStyle w:val="job-header"/>
        <w:tblW w:w="5000" w:type="pct"/>
        <w:shd w:val="clear" w:color="auto" w:fill="FFFFFF"/>
        <w:tblCellMar>
          <w:top w:w="15" w:type="dxa"/>
          <w:left w:w="15" w:type="dxa"/>
          <w:bottom w:w="15" w:type="dxa"/>
          <w:right w:w="15" w:type="dxa"/>
        </w:tblCellMar>
        <w:tblLook w:val="05E0"/>
      </w:tblPr>
      <w:tblGrid>
        <w:gridCol w:w="8540"/>
        <w:gridCol w:w="2260"/>
      </w:tblGrid>
      <w:tr>
        <w:tblPrEx>
          <w:tblW w:w="5000" w:type="pct"/>
          <w:shd w:val="clear" w:color="auto" w:fill="FFFFFF"/>
          <w:tblCellMar>
            <w:top w:w="15" w:type="dxa"/>
            <w:left w:w="15" w:type="dxa"/>
            <w:bottom w:w="15" w:type="dxa"/>
            <w:right w:w="15" w:type="dxa"/>
          </w:tblCellMar>
          <w:tblLook w:val="05E0"/>
        </w:tblPrEx>
        <w:tc>
          <w:tcPr>
            <w:shd w:val="clear" w:color="auto" w:fill="FFFFFF"/>
            <w:tcMar>
              <w:top w:w="0" w:type="dxa"/>
              <w:left w:w="0" w:type="dxa"/>
              <w:bottom w:w="0" w:type="dxa"/>
              <w:right w:w="0" w:type="dxa"/>
            </w:tcMar>
            <w:vAlign w:val="top"/>
            <w:hideMark/>
          </w:tcPr>
          <w:p>
            <w:pPr>
              <w:spacing w:line="252" w:lineRule="atLeast"/>
              <w:rPr>
                <w:rFonts w:ascii="Helvetica" w:eastAsia="Helvetica" w:hAnsi="Helvetica" w:cs="Helvetica"/>
                <w:b/>
                <w:bCs/>
                <w:color w:val="000000"/>
                <w:sz w:val="18"/>
                <w:szCs w:val="18"/>
              </w:rPr>
            </w:pPr>
            <w:r>
              <w:rPr>
                <w:rFonts w:ascii="Helvetica" w:eastAsia="Helvetica" w:hAnsi="Helvetica" w:cs="Helvetica"/>
                <w:b/>
                <w:bCs/>
                <w:color w:val="000000"/>
                <w:sz w:val="18"/>
                <w:szCs w:val="18"/>
              </w:rPr>
              <w:t xml:space="preserve">ICAR–National Dairy Research Institute </w:t>
            </w:r>
            <w:r>
              <w:rPr>
                <w:rFonts w:ascii="Helvetica" w:eastAsia="Helvetica" w:hAnsi="Helvetica" w:cs="Helvetica"/>
                <w:b/>
                <w:bCs/>
                <w:color w:val="000000"/>
                <w:sz w:val="18"/>
                <w:szCs w:val="18"/>
              </w:rPr>
              <w:br/>
            </w:r>
            <w:r>
              <w:rPr>
                <w:rStyle w:val="job-title"/>
                <w:rFonts w:ascii="Helvetica" w:eastAsia="Helvetica" w:hAnsi="Helvetica" w:cs="Helvetica"/>
                <w:b/>
                <w:bCs/>
                <w:color w:val="000000"/>
              </w:rPr>
              <w:t>Master's Research</w:t>
            </w:r>
          </w:p>
        </w:tc>
        <w:tc>
          <w:tcPr>
            <w:tcW w:w="2260" w:type="dxa"/>
            <w:shd w:val="clear" w:color="auto" w:fill="FFFFFF"/>
            <w:noWrap/>
            <w:tcMar>
              <w:top w:w="0" w:type="dxa"/>
              <w:left w:w="0" w:type="dxa"/>
              <w:bottom w:w="0" w:type="dxa"/>
              <w:right w:w="0" w:type="dxa"/>
            </w:tcMar>
            <w:vAlign w:val="top"/>
            <w:hideMark/>
          </w:tcPr>
          <w:p>
            <w:pPr>
              <w:spacing w:line="252" w:lineRule="atLeast"/>
              <w:jc w:val="right"/>
              <w:rPr>
                <w:rFonts w:ascii="Helvetica" w:eastAsia="Helvetica" w:hAnsi="Helvetica" w:cs="Helvetica"/>
                <w:b/>
                <w:bCs/>
                <w:sz w:val="18"/>
                <w:szCs w:val="18"/>
              </w:rPr>
            </w:pPr>
            <w:r>
              <w:rPr>
                <w:rFonts w:ascii="Helvetica" w:eastAsia="Helvetica" w:hAnsi="Helvetica" w:cs="Helvetica"/>
                <w:b/>
                <w:bCs/>
                <w:sz w:val="18"/>
                <w:szCs w:val="18"/>
              </w:rPr>
              <w:t xml:space="preserve">2018 - 2020 </w:t>
            </w:r>
          </w:p>
        </w:tc>
      </w:tr>
    </w:tbl>
    <w:p>
      <w:pPr>
        <w:pStyle w:val="resume-wrapperli"/>
        <w:numPr>
          <w:ilvl w:val="0"/>
          <w:numId w:val="3"/>
        </w:numPr>
        <w:shd w:val="clear" w:color="auto" w:fill="FFFFFF"/>
        <w:spacing w:before="150"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Cloned and expressed recombinant buffalo pregnancy-associated glycoprotein-8 (BuPAG-8) in E. coli.</w:t>
      </w:r>
    </w:p>
    <w:p>
      <w:pPr>
        <w:pStyle w:val="resume-wrapperli"/>
        <w:numPr>
          <w:ilvl w:val="0"/>
          <w:numId w:val="3"/>
        </w:numPr>
        <w:shd w:val="clear" w:color="auto" w:fill="FFFFFF"/>
        <w:spacing w:after="54"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Used PCR amplification, restriction digestion, ligation, and bacterial transformation to support recombinant protein production.</w:t>
      </w:r>
    </w:p>
    <w:p>
      <w:pPr>
        <w:pStyle w:val="resume-wrapperli"/>
        <w:numPr>
          <w:ilvl w:val="0"/>
          <w:numId w:val="3"/>
        </w:numPr>
        <w:shd w:val="clear" w:color="auto" w:fill="FFFFFF"/>
        <w:spacing w:after="216" w:line="252" w:lineRule="atLeast"/>
        <w:ind w:left="270" w:hanging="183"/>
        <w:jc w:val="left"/>
        <w:rPr>
          <w:rFonts w:ascii="Helvetica" w:eastAsia="Helvetica" w:hAnsi="Helvetica" w:cs="Helvetica"/>
          <w:sz w:val="18"/>
          <w:szCs w:val="18"/>
        </w:rPr>
      </w:pPr>
      <w:r>
        <w:rPr>
          <w:rFonts w:ascii="Helvetica" w:eastAsia="Helvetica" w:hAnsi="Helvetica" w:cs="Helvetica"/>
          <w:sz w:val="18"/>
          <w:szCs w:val="18"/>
        </w:rPr>
        <w:t>Expressed and purified the protein, then assessed it using SDS-PAGE.</w:t>
      </w:r>
    </w:p>
    <w:p>
      <w:pPr>
        <w:pStyle w:val="section-headerwith-divider"/>
        <w:shd w:val="clear" w:color="auto" w:fill="FFFFFF"/>
        <w:spacing w:before="330" w:after="150" w:line="216" w:lineRule="atLeast"/>
        <w:ind w:left="0" w:right="0"/>
        <w:rPr>
          <w:rFonts w:ascii="Helvetica" w:eastAsia="Helvetica" w:hAnsi="Helvetica" w:cs="Helvetica"/>
          <w:b/>
          <w:bCs/>
          <w:color w:val="000000"/>
          <w:sz w:val="18"/>
          <w:szCs w:val="18"/>
        </w:rPr>
      </w:pPr>
      <w:r>
        <w:rPr>
          <w:rFonts w:ascii="Helvetica" w:eastAsia="Helvetica" w:hAnsi="Helvetica" w:cs="Helvetica"/>
          <w:sz w:val="18"/>
          <w:szCs w:val="18"/>
        </w:rPr>
        <w:t>EDUCATION</w:t>
      </w:r>
    </w:p>
    <w:p>
      <w:pPr>
        <w:shd w:val="clear" w:color="auto" w:fill="FFFFFF"/>
        <w:spacing w:line="252" w:lineRule="atLeast"/>
        <w:rPr>
          <w:rFonts w:ascii="Helvetica" w:eastAsia="Helvetica" w:hAnsi="Helvetica" w:cs="Helvetica"/>
          <w:sz w:val="18"/>
          <w:szCs w:val="18"/>
        </w:rPr>
      </w:pPr>
      <w:r>
        <w:rPr>
          <w:rStyle w:val="edu-school-name"/>
          <w:rFonts w:ascii="Helvetica" w:eastAsia="Helvetica" w:hAnsi="Helvetica" w:cs="Helvetica"/>
          <w:b/>
          <w:bCs/>
          <w:sz w:val="18"/>
          <w:szCs w:val="18"/>
        </w:rPr>
        <w:t>ICAR–Indian Veterinary Research Institute</w:t>
      </w:r>
    </w:p>
    <w:p>
      <w:pPr>
        <w:shd w:val="clear" w:color="auto" w:fill="FFFFFF"/>
        <w:spacing w:after="180" w:line="252" w:lineRule="atLeast"/>
        <w:rPr>
          <w:rFonts w:ascii="Helvetica" w:eastAsia="Helvetica" w:hAnsi="Helvetica" w:cs="Helvetica"/>
          <w:sz w:val="18"/>
          <w:szCs w:val="18"/>
        </w:rPr>
      </w:pPr>
      <w:r>
        <w:rPr>
          <w:rFonts w:ascii="Helvetica" w:eastAsia="Helvetica" w:hAnsi="Helvetica" w:cs="Helvetica"/>
          <w:sz w:val="18"/>
          <w:szCs w:val="18"/>
        </w:rPr>
        <w:t xml:space="preserve">PhD, Animal Biotechnology | 2025 </w:t>
      </w:r>
    </w:p>
    <w:p>
      <w:pPr>
        <w:shd w:val="clear" w:color="auto" w:fill="FFFFFF"/>
        <w:spacing w:line="252" w:lineRule="atLeast"/>
        <w:rPr>
          <w:rFonts w:ascii="Helvetica" w:eastAsia="Helvetica" w:hAnsi="Helvetica" w:cs="Helvetica"/>
          <w:sz w:val="18"/>
          <w:szCs w:val="18"/>
        </w:rPr>
      </w:pPr>
      <w:r>
        <w:rPr>
          <w:rStyle w:val="edu-school-name"/>
          <w:rFonts w:ascii="Helvetica" w:eastAsia="Helvetica" w:hAnsi="Helvetica" w:cs="Helvetica"/>
          <w:b/>
          <w:bCs/>
          <w:sz w:val="18"/>
          <w:szCs w:val="18"/>
        </w:rPr>
        <w:t>ICAR–National Dairy Research Institute</w:t>
      </w:r>
    </w:p>
    <w:p>
      <w:pPr>
        <w:shd w:val="clear" w:color="auto" w:fill="FFFFFF"/>
        <w:spacing w:after="180" w:line="252" w:lineRule="atLeast"/>
        <w:rPr>
          <w:rFonts w:ascii="Helvetica" w:eastAsia="Helvetica" w:hAnsi="Helvetica" w:cs="Helvetica"/>
          <w:sz w:val="18"/>
          <w:szCs w:val="18"/>
        </w:rPr>
      </w:pPr>
      <w:r>
        <w:rPr>
          <w:rFonts w:ascii="Helvetica" w:eastAsia="Helvetica" w:hAnsi="Helvetica" w:cs="Helvetica"/>
          <w:sz w:val="18"/>
          <w:szCs w:val="18"/>
        </w:rPr>
        <w:t xml:space="preserve">Master's, Animal Biotechnology | 2020 </w:t>
      </w:r>
    </w:p>
    <w:p>
      <w:pPr>
        <w:shd w:val="clear" w:color="auto" w:fill="FFFFFF"/>
        <w:spacing w:line="252" w:lineRule="atLeast"/>
        <w:rPr>
          <w:rFonts w:ascii="Helvetica" w:eastAsia="Helvetica" w:hAnsi="Helvetica" w:cs="Helvetica"/>
          <w:sz w:val="18"/>
          <w:szCs w:val="18"/>
        </w:rPr>
      </w:pPr>
      <w:r>
        <w:rPr>
          <w:rStyle w:val="edu-school-name"/>
          <w:rFonts w:ascii="Helvetica" w:eastAsia="Helvetica" w:hAnsi="Helvetica" w:cs="Helvetica"/>
          <w:b/>
          <w:bCs/>
          <w:sz w:val="18"/>
          <w:szCs w:val="18"/>
        </w:rPr>
        <w:t>Maharashtra Animal &amp; Fisheries Science University</w:t>
      </w:r>
    </w:p>
    <w:p>
      <w:pPr>
        <w:shd w:val="clear" w:color="auto" w:fill="FFFFFF"/>
        <w:spacing w:after="180" w:line="252" w:lineRule="atLeast"/>
        <w:rPr>
          <w:rFonts w:ascii="Helvetica" w:eastAsia="Helvetica" w:hAnsi="Helvetica" w:cs="Helvetica"/>
          <w:sz w:val="18"/>
          <w:szCs w:val="18"/>
        </w:rPr>
      </w:pPr>
      <w:r>
        <w:rPr>
          <w:rFonts w:ascii="Helvetica" w:eastAsia="Helvetica" w:hAnsi="Helvetica" w:cs="Helvetica"/>
          <w:sz w:val="18"/>
          <w:szCs w:val="18"/>
        </w:rPr>
        <w:t xml:space="preserve">Bachelor of Veterinary Science | 2018 </w:t>
      </w:r>
    </w:p>
    <w:p>
      <w:pPr>
        <w:pStyle w:val="section-headerwith-divider"/>
        <w:shd w:val="clear" w:color="auto" w:fill="FFFFFF"/>
        <w:spacing w:before="330" w:after="150" w:line="216" w:lineRule="atLeast"/>
        <w:ind w:left="0" w:right="0"/>
        <w:rPr>
          <w:rFonts w:ascii="Helvetica" w:eastAsia="Helvetica" w:hAnsi="Helvetica" w:cs="Helvetica"/>
          <w:b/>
          <w:bCs/>
          <w:color w:val="000000"/>
          <w:sz w:val="18"/>
          <w:szCs w:val="18"/>
        </w:rPr>
      </w:pPr>
      <w:r>
        <w:rPr>
          <w:rFonts w:ascii="Helvetica" w:eastAsia="Helvetica" w:hAnsi="Helvetica" w:cs="Helvetica"/>
          <w:sz w:val="18"/>
          <w:szCs w:val="18"/>
        </w:rPr>
        <w:t>SKILLS</w:t>
      </w:r>
    </w:p>
    <w:p>
      <w:pPr>
        <w:pStyle w:val="resume-wrapperp"/>
        <w:shd w:val="clear" w:color="auto" w:fill="FFFFFF"/>
        <w:spacing w:before="180" w:after="330" w:line="252" w:lineRule="atLeast"/>
        <w:rPr>
          <w:rFonts w:ascii="Helvetica" w:eastAsia="Helvetica" w:hAnsi="Helvetica" w:cs="Helvetica"/>
          <w:sz w:val="18"/>
          <w:szCs w:val="18"/>
        </w:rPr>
      </w:pPr>
      <w:r>
        <w:rPr>
          <w:rFonts w:ascii="Helvetica" w:eastAsia="Helvetica" w:hAnsi="Helvetica" w:cs="Helvetica"/>
          <w:sz w:val="18"/>
          <w:szCs w:val="18"/>
        </w:rPr>
        <w:t>Antimicrobial Activity Evaluation | Bacterial Transformation | Bioactive Compound Encapsulation | Biological Cargo Delivery | Cellular Uptake Studies | Chitosan Nanoparticle Formulation | Cloning | Confocal Microscopy | Controlled Release | Cytokine Profiling | Cytotoxicity Assays | ELISA | Encapsulation Efficiency | FITC-conjugated Chitosan Nanoparticles | Formulation Stability | FTIR Spectroscopy | Guinea Pig Studies | Histopathology | Immunogenicity Evaluation | In-vivo Evaluation | Ligation | Mammalian Cell Culture | Nanoparticle Formulation | Particle-size Analysis | PCR Amplification | PDI | Plaque Assay | Polymer–virus Interactions | Protective Response Evaluation | Protein Purification | QPCR | Recombinant Protein Expression | Release Kinetics | Restriction Digestion | SDS-PAGE | TCID50 Titration | TEM | Virus Inactivation | Virus Neutralization Test | Virus Propagation | Zeta Potential</w:t>
      </w:r>
    </w:p>
    <w:p w:rsidR="00A77B3E"/>
    <w:sectPr>
      <w:pgSz w:w="12240" w:h="15840"/>
      <w:pgMar w:top="600" w:right="720" w:bottom="60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resume-wrapper">
    <w:name w:val="resume-wrapper"/>
    <w:basedOn w:val="Normal"/>
    <w:pPr>
      <w:spacing w:line="252" w:lineRule="atLeast"/>
    </w:pPr>
    <w:rPr>
      <w:rFonts w:ascii="Helvetica" w:eastAsia="Helvetica" w:hAnsi="Helvetica" w:cs="Helvetica"/>
      <w:sz w:val="18"/>
      <w:szCs w:val="18"/>
    </w:rPr>
  </w:style>
  <w:style w:type="paragraph" w:customStyle="1" w:styleId="candidate-name">
    <w:name w:val="candidate-name"/>
    <w:basedOn w:val="Normal"/>
    <w:pPr>
      <w:jc w:val="left"/>
    </w:pPr>
    <w:rPr>
      <w:color w:val="000000"/>
      <w:sz w:val="49"/>
      <w:szCs w:val="49"/>
    </w:rPr>
  </w:style>
  <w:style w:type="paragraph" w:customStyle="1" w:styleId="ideal-job-title">
    <w:name w:val="ideal-job-title"/>
    <w:basedOn w:val="Normal"/>
    <w:pPr>
      <w:pBdr>
        <w:bottom w:val="none" w:sz="0" w:space="5" w:color="auto"/>
      </w:pBdr>
      <w:jc w:val="left"/>
    </w:pPr>
    <w:rPr>
      <w:i/>
      <w:iCs/>
      <w:caps/>
      <w:sz w:val="23"/>
      <w:szCs w:val="23"/>
    </w:rPr>
  </w:style>
  <w:style w:type="paragraph" w:customStyle="1" w:styleId="contact-info">
    <w:name w:val="contact-info"/>
    <w:basedOn w:val="Normal"/>
    <w:pPr>
      <w:jc w:val="left"/>
    </w:pPr>
    <w:rPr>
      <w:sz w:val="16"/>
      <w:szCs w:val="16"/>
    </w:rPr>
  </w:style>
  <w:style w:type="paragraph" w:customStyle="1" w:styleId="resume-section">
    <w:name w:val="resume-section"/>
    <w:basedOn w:val="Normal"/>
  </w:style>
  <w:style w:type="paragraph" w:customStyle="1" w:styleId="section-headerwith-divider">
    <w:name w:val="section-header_with-divider"/>
    <w:basedOn w:val="Normal"/>
    <w:pPr>
      <w:pBdr>
        <w:top w:val="none" w:sz="0" w:space="0" w:color="auto"/>
        <w:left w:val="none" w:sz="0" w:space="0" w:color="auto"/>
        <w:bottom w:val="single" w:sz="16" w:space="3" w:color="000000"/>
        <w:right w:val="none" w:sz="0" w:space="0" w:color="auto"/>
      </w:pBdr>
      <w:spacing w:line="288" w:lineRule="atLeast"/>
      <w:jc w:val="left"/>
    </w:pPr>
    <w:rPr>
      <w:b/>
      <w:bCs/>
      <w:color w:val="000000"/>
    </w:rPr>
  </w:style>
  <w:style w:type="paragraph" w:customStyle="1" w:styleId="resume-wrapperp">
    <w:name w:val="resume-wrapper_p"/>
    <w:basedOn w:val="Normal"/>
  </w:style>
  <w:style w:type="paragraph" w:customStyle="1" w:styleId="job-entry">
    <w:name w:val="job-entry"/>
    <w:basedOn w:val="Normal"/>
  </w:style>
  <w:style w:type="character" w:customStyle="1" w:styleId="job-title">
    <w:name w:val="job-title"/>
    <w:basedOn w:val="DefaultParagraphFont"/>
    <w:rPr>
      <w:b/>
      <w:bCs/>
      <w:sz w:val="18"/>
      <w:szCs w:val="18"/>
    </w:rPr>
  </w:style>
  <w:style w:type="table" w:customStyle="1" w:styleId="job-header">
    <w:name w:val="job-header"/>
    <w:basedOn w:val="TableNormal"/>
    <w:tblPr/>
  </w:style>
  <w:style w:type="paragraph" w:customStyle="1" w:styleId="resume-wrapperli">
    <w:name w:val="resume-wrapper_li"/>
    <w:basedOn w:val="Normal"/>
  </w:style>
  <w:style w:type="paragraph" w:customStyle="1" w:styleId="edu-entry">
    <w:name w:val="edu-entry"/>
    <w:basedOn w:val="Normal"/>
  </w:style>
  <w:style w:type="character" w:customStyle="1" w:styleId="edu-school-name">
    <w:name w:val="edu-school-name"/>
    <w:basedOn w:val="DefaultParagraphFont"/>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arjun.mehta@example.com" TargetMode="External" /><Relationship Id="rId5" Type="http://schemas.openxmlformats.org/officeDocument/2006/relationships/hyperlink" Target="https://orcid.org/0000-0000-0000-00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